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C303" w14:textId="2679B00F" w:rsidR="00D55B5A" w:rsidRPr="004C5D82" w:rsidRDefault="00D55B5A" w:rsidP="00056C32">
      <w:pPr>
        <w:numPr>
          <w:ilvl w:val="0"/>
          <w:numId w:val="16"/>
        </w:num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The Legal Practitioners’ Fidelity Guarantee Fund (the Fund) is administered by the Queensland Law Society (QLS) under the </w:t>
      </w:r>
      <w:r w:rsidRPr="004C5D82">
        <w:rPr>
          <w:rFonts w:ascii="Arial" w:hAnsi="Arial" w:cs="Arial"/>
          <w:bCs/>
          <w:i/>
          <w:iCs/>
          <w:spacing w:val="-3"/>
          <w:sz w:val="22"/>
          <w:szCs w:val="22"/>
        </w:rPr>
        <w:t>Legal Profession Act 2007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 (LPA). </w:t>
      </w: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It was established to provide a source of compensation for persons who have lost trust money or property due to a dishonest default by a solicitor law practice. </w:t>
      </w:r>
    </w:p>
    <w:p w14:paraId="46BE39FF" w14:textId="74485D6E" w:rsidR="00D55B5A" w:rsidRPr="004C5D82" w:rsidRDefault="00D55B5A" w:rsidP="00056C32">
      <w:pPr>
        <w:numPr>
          <w:ilvl w:val="0"/>
          <w:numId w:val="16"/>
        </w:num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5D82">
        <w:rPr>
          <w:rFonts w:ascii="Arial" w:hAnsi="Arial" w:cs="Arial"/>
          <w:bCs/>
          <w:spacing w:val="-3"/>
          <w:sz w:val="22"/>
          <w:szCs w:val="22"/>
        </w:rPr>
        <w:t>Section 396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C5D82">
        <w:rPr>
          <w:rFonts w:ascii="Arial" w:hAnsi="Arial" w:cs="Arial"/>
          <w:bCs/>
          <w:spacing w:val="-3"/>
          <w:sz w:val="22"/>
          <w:szCs w:val="22"/>
        </w:rPr>
        <w:t>of the LPA prohibits the payment from the Fund of amounts in excess of the statutory caps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 - $200,000 (for a single claim) and $2 million (as the maximum aggregate amount for all claims made in relation to a single law practice). </w:t>
      </w: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However, 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it provides the </w:t>
      </w:r>
      <w:r w:rsidRPr="004C5D82">
        <w:rPr>
          <w:rFonts w:ascii="Arial" w:hAnsi="Arial" w:cs="Arial"/>
          <w:bCs/>
          <w:spacing w:val="-3"/>
          <w:sz w:val="22"/>
          <w:szCs w:val="22"/>
        </w:rPr>
        <w:t>QLS with a discretion to pay more</w:t>
      </w:r>
      <w:r w:rsidR="00EC5A1E">
        <w:rPr>
          <w:rFonts w:ascii="Arial" w:hAnsi="Arial" w:cs="Arial"/>
          <w:bCs/>
          <w:spacing w:val="-3"/>
          <w:sz w:val="22"/>
          <w:szCs w:val="22"/>
        </w:rPr>
        <w:t>,</w:t>
      </w: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 if satisfied that it would be reasonable to do so</w:t>
      </w:r>
      <w:r w:rsidR="00EC5A1E">
        <w:rPr>
          <w:rFonts w:ascii="Arial" w:hAnsi="Arial" w:cs="Arial"/>
          <w:bCs/>
          <w:spacing w:val="-3"/>
          <w:sz w:val="22"/>
          <w:szCs w:val="22"/>
        </w:rPr>
        <w:t>,</w:t>
      </w: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 after taking into account the position of the Fund and the circumstances of the particular case.</w:t>
      </w:r>
    </w:p>
    <w:p w14:paraId="043795F9" w14:textId="4E6E5C1B" w:rsidR="00D55B5A" w:rsidRPr="004C5D82" w:rsidRDefault="00D55B5A" w:rsidP="00056C32">
      <w:pPr>
        <w:numPr>
          <w:ilvl w:val="0"/>
          <w:numId w:val="16"/>
        </w:num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5D82">
        <w:rPr>
          <w:rFonts w:ascii="Arial" w:hAnsi="Arial" w:cs="Arial"/>
          <w:bCs/>
          <w:spacing w:val="-3"/>
          <w:sz w:val="22"/>
          <w:szCs w:val="22"/>
        </w:rPr>
        <w:t>For a period, the policies of the QLS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routinely 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>imposed the statutory caps on claims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>.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>On review, t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>he QLS has advised it is supportive of additional payments being made to affected claimants but requires legislative amendment to authorise such action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193944D" w14:textId="3FCD5DCC" w:rsidR="00BE740B" w:rsidRPr="004C5D82" w:rsidRDefault="003530EF" w:rsidP="00D55B5A">
      <w:pPr>
        <w:numPr>
          <w:ilvl w:val="0"/>
          <w:numId w:val="16"/>
        </w:num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5D8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C5D82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1F405F" w:rsidRPr="004C5D82">
        <w:rPr>
          <w:rFonts w:ascii="Arial" w:hAnsi="Arial" w:cs="Arial"/>
          <w:bCs/>
          <w:spacing w:val="-3"/>
          <w:sz w:val="22"/>
          <w:szCs w:val="22"/>
        </w:rPr>
        <w:t xml:space="preserve">preparation of amendments to the </w:t>
      </w:r>
      <w:r w:rsidR="001F405F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>L</w:t>
      </w:r>
      <w:r w:rsidR="00812DD8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egal </w:t>
      </w:r>
      <w:r w:rsidR="00C727DB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>P</w:t>
      </w:r>
      <w:r w:rsidR="00812DD8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rofession </w:t>
      </w:r>
      <w:r w:rsidR="00C727DB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>A</w:t>
      </w:r>
      <w:r w:rsidR="00812DD8" w:rsidRPr="00812DD8">
        <w:rPr>
          <w:rFonts w:ascii="Arial" w:hAnsi="Arial" w:cs="Arial"/>
          <w:bCs/>
          <w:i/>
          <w:iCs/>
          <w:spacing w:val="-3"/>
          <w:sz w:val="22"/>
          <w:szCs w:val="22"/>
        </w:rPr>
        <w:t>ct 2007</w:t>
      </w:r>
      <w:r w:rsidR="003F4D49">
        <w:rPr>
          <w:rFonts w:ascii="Arial" w:hAnsi="Arial" w:cs="Arial"/>
          <w:bCs/>
          <w:spacing w:val="-3"/>
          <w:sz w:val="22"/>
          <w:szCs w:val="22"/>
        </w:rPr>
        <w:t xml:space="preserve"> (LPA</w:t>
      </w:r>
      <w:r w:rsidR="006E2411">
        <w:rPr>
          <w:rFonts w:ascii="Arial" w:hAnsi="Arial" w:cs="Arial"/>
          <w:bCs/>
          <w:spacing w:val="-3"/>
          <w:sz w:val="22"/>
          <w:szCs w:val="22"/>
        </w:rPr>
        <w:t>)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>,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 to be moved during consideration in detail of a Bill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>,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facilitate full payment of any claim not paid in full since the commencement of the LPA due to the operation of the statutory caps </w:t>
      </w:r>
      <w:r w:rsidR="00C727DB" w:rsidRPr="004C5D82">
        <w:rPr>
          <w:rFonts w:ascii="Arial" w:hAnsi="Arial" w:cs="Arial"/>
          <w:bCs/>
          <w:spacing w:val="-3"/>
          <w:sz w:val="22"/>
          <w:szCs w:val="22"/>
        </w:rPr>
        <w:t xml:space="preserve">and to </w:t>
      </w:r>
      <w:r w:rsidR="00056C32" w:rsidRPr="004C5D82">
        <w:rPr>
          <w:rFonts w:ascii="Arial" w:hAnsi="Arial" w:cs="Arial"/>
          <w:bCs/>
          <w:spacing w:val="-3"/>
          <w:sz w:val="22"/>
          <w:szCs w:val="22"/>
        </w:rPr>
        <w:t xml:space="preserve">clarify </w:t>
      </w:r>
      <w:r w:rsidR="00C727DB" w:rsidRPr="004C5D82">
        <w:rPr>
          <w:rFonts w:ascii="Arial" w:hAnsi="Arial" w:cs="Arial"/>
          <w:sz w:val="22"/>
          <w:szCs w:val="22"/>
        </w:rPr>
        <w:t>when the statutory caps may be applied</w:t>
      </w:r>
      <w:r w:rsidR="00056C32" w:rsidRPr="004C5D82">
        <w:rPr>
          <w:rFonts w:ascii="Arial" w:hAnsi="Arial" w:cs="Arial"/>
          <w:sz w:val="22"/>
          <w:szCs w:val="22"/>
        </w:rPr>
        <w:t>.</w:t>
      </w:r>
    </w:p>
    <w:p w14:paraId="12B50679" w14:textId="2FECA40D" w:rsidR="00D342AA" w:rsidRPr="00146407" w:rsidRDefault="003530EF">
      <w:pPr>
        <w:numPr>
          <w:ilvl w:val="0"/>
          <w:numId w:val="16"/>
        </w:numPr>
        <w:spacing w:before="240"/>
        <w:ind w:left="36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146407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3BE44895" w14:textId="278EC3E9" w:rsidR="00C727DB" w:rsidRPr="004C5D82" w:rsidRDefault="007963ED" w:rsidP="00465E4E">
      <w:pPr>
        <w:numPr>
          <w:ilvl w:val="1"/>
          <w:numId w:val="16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C727DB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Amendments to the</w:t>
        </w:r>
        <w:r w:rsidR="00146407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146407" w:rsidRPr="004E5778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 xml:space="preserve">Legal Profession Act 2007 </w:t>
        </w:r>
        <w:r w:rsidR="0006535C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during consideration in detail to</w:t>
        </w:r>
        <w:r w:rsidR="00E60B50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7B7E4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Criminal Code (Consent and Mistake of Fact) and Other Legislation Amendment</w:t>
        </w:r>
        <w:r w:rsidR="00EC5A1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Bill</w:t>
        </w:r>
        <w:r w:rsidR="007B7E4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</w:p>
    <w:p w14:paraId="519D9BA3" w14:textId="35F28B31" w:rsidR="003A339E" w:rsidRDefault="007963ED" w:rsidP="00465E4E">
      <w:pPr>
        <w:numPr>
          <w:ilvl w:val="1"/>
          <w:numId w:val="16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C727DB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Explanatory Notes </w:t>
        </w:r>
        <w:r w:rsidR="00465E4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for amendments during consideration in detail</w:t>
        </w:r>
      </w:hyperlink>
    </w:p>
    <w:p w14:paraId="1DDED243" w14:textId="07778B86" w:rsidR="003A339E" w:rsidRPr="00EE5D01" w:rsidRDefault="007963ED" w:rsidP="00465E4E">
      <w:pPr>
        <w:numPr>
          <w:ilvl w:val="1"/>
          <w:numId w:val="16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3" w:history="1">
        <w:r w:rsidR="007B7E4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  <w:r w:rsidR="00465E4E" w:rsidRPr="004E57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for amendments during consideration in detail</w:t>
        </w:r>
      </w:hyperlink>
    </w:p>
    <w:sectPr w:rsidR="003A339E" w:rsidRPr="00EE5D01" w:rsidSect="00197ADF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BB75" w14:textId="77777777" w:rsidR="00D94560" w:rsidRDefault="00D94560">
      <w:r>
        <w:separator/>
      </w:r>
    </w:p>
  </w:endnote>
  <w:endnote w:type="continuationSeparator" w:id="0">
    <w:p w14:paraId="5F219814" w14:textId="77777777" w:rsidR="00D94560" w:rsidRDefault="00D9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AB20" w14:textId="77777777" w:rsidR="00D94560" w:rsidRDefault="00D94560">
      <w:r>
        <w:separator/>
      </w:r>
    </w:p>
  </w:footnote>
  <w:footnote w:type="continuationSeparator" w:id="0">
    <w:p w14:paraId="7A86CE6D" w14:textId="77777777" w:rsidR="00D94560" w:rsidRDefault="00D9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16D4" w14:textId="00EEA8B1" w:rsidR="00950178" w:rsidRPr="00D75134" w:rsidRDefault="00735E5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9C79B0F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9945256" w14:textId="05C59E57" w:rsidR="00950178" w:rsidRPr="001E209B" w:rsidRDefault="00735E5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E2190">
      <w:rPr>
        <w:rFonts w:ascii="Arial" w:hAnsi="Arial" w:cs="Arial"/>
        <w:b/>
        <w:sz w:val="22"/>
        <w:szCs w:val="22"/>
      </w:rPr>
      <w:t>July 2020</w:t>
    </w:r>
  </w:p>
  <w:p w14:paraId="2CF6477D" w14:textId="47C294E6" w:rsidR="00D55B5A" w:rsidRPr="001F405F" w:rsidRDefault="00D55B5A" w:rsidP="001F40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Amendments to the </w:t>
    </w:r>
    <w:r w:rsidRPr="00056C32">
      <w:rPr>
        <w:rFonts w:ascii="Arial" w:hAnsi="Arial" w:cs="Arial"/>
        <w:b/>
        <w:i/>
        <w:iCs/>
        <w:sz w:val="22"/>
        <w:szCs w:val="22"/>
        <w:u w:val="single"/>
      </w:rPr>
      <w:t>Legal Profession Act 2007</w:t>
    </w:r>
  </w:p>
  <w:p w14:paraId="72F1A5AB" w14:textId="566C9DB8" w:rsidR="00100F05" w:rsidRDefault="00100F0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00F05">
      <w:rPr>
        <w:rFonts w:ascii="Arial" w:hAnsi="Arial" w:cs="Arial"/>
        <w:b/>
        <w:sz w:val="22"/>
        <w:szCs w:val="22"/>
        <w:u w:val="single"/>
      </w:rPr>
      <w:t>Attorney-General and Minister for Justice</w:t>
    </w:r>
    <w:r w:rsidR="00886DB2">
      <w:rPr>
        <w:rFonts w:ascii="Arial" w:hAnsi="Arial" w:cs="Arial"/>
        <w:b/>
        <w:sz w:val="22"/>
        <w:szCs w:val="22"/>
        <w:u w:val="single"/>
      </w:rPr>
      <w:t xml:space="preserve"> and Leader of the House</w:t>
    </w:r>
  </w:p>
  <w:p w14:paraId="0E3349A3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EBB4EAE"/>
    <w:multiLevelType w:val="hybridMultilevel"/>
    <w:tmpl w:val="6CBE2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981"/>
    <w:multiLevelType w:val="hybridMultilevel"/>
    <w:tmpl w:val="DEBC8120"/>
    <w:lvl w:ilvl="0" w:tplc="7B60A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F045A"/>
    <w:multiLevelType w:val="hybridMultilevel"/>
    <w:tmpl w:val="2F96D40C"/>
    <w:lvl w:ilvl="0" w:tplc="F72C0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B01D0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F4504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5EE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4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FAC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D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1A3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BCF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491016"/>
    <w:multiLevelType w:val="hybridMultilevel"/>
    <w:tmpl w:val="77D6AC46"/>
    <w:lvl w:ilvl="0" w:tplc="3286B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03832">
      <w:start w:val="13"/>
      <w:numFmt w:val="decimal"/>
      <w:lvlText w:val="%3"/>
      <w:lvlJc w:val="left"/>
      <w:pPr>
        <w:ind w:left="501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1022"/>
    <w:multiLevelType w:val="hybridMultilevel"/>
    <w:tmpl w:val="307EC6A8"/>
    <w:lvl w:ilvl="0" w:tplc="92FA1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F9CB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A7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0D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2A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4B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8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29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8D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12AAD"/>
    <w:multiLevelType w:val="hybridMultilevel"/>
    <w:tmpl w:val="3C2E0DAE"/>
    <w:lvl w:ilvl="0" w:tplc="7B60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D6180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F66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221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7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C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0B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28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45ACB"/>
    <w:multiLevelType w:val="hybridMultilevel"/>
    <w:tmpl w:val="D9FC19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F341D7"/>
    <w:multiLevelType w:val="hybridMultilevel"/>
    <w:tmpl w:val="BABAE79A"/>
    <w:lvl w:ilvl="0" w:tplc="7B60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D6180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F66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221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7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C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0B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28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B04E92"/>
    <w:multiLevelType w:val="hybridMultilevel"/>
    <w:tmpl w:val="E710D8B2"/>
    <w:lvl w:ilvl="0" w:tplc="E54E6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009D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466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703F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E2BD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42CE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DA5B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CA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A23A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23685"/>
    <w:multiLevelType w:val="hybridMultilevel"/>
    <w:tmpl w:val="8B248E1C"/>
    <w:lvl w:ilvl="0" w:tplc="31362B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1EB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C616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B8D1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88FA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C05C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00F3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BA1C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7227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939EC"/>
    <w:multiLevelType w:val="hybridMultilevel"/>
    <w:tmpl w:val="B5F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E4382"/>
    <w:multiLevelType w:val="hybridMultilevel"/>
    <w:tmpl w:val="B0F64FAC"/>
    <w:lvl w:ilvl="0" w:tplc="AA54F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262E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D0025D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A2D5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E9A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969E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C2D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A089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ECED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427D55"/>
    <w:multiLevelType w:val="hybridMultilevel"/>
    <w:tmpl w:val="E79E3230"/>
    <w:lvl w:ilvl="0" w:tplc="9BE42886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F4004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B2E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AE2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78C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4A7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E2F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C04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F48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176F87"/>
    <w:multiLevelType w:val="hybridMultilevel"/>
    <w:tmpl w:val="3C2E0DAE"/>
    <w:lvl w:ilvl="0" w:tplc="7B60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D6180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F66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221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7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C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0B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28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B"/>
    <w:rsid w:val="00000722"/>
    <w:rsid w:val="00004C80"/>
    <w:rsid w:val="00036A64"/>
    <w:rsid w:val="00042EFC"/>
    <w:rsid w:val="000430DD"/>
    <w:rsid w:val="00043A13"/>
    <w:rsid w:val="00056C32"/>
    <w:rsid w:val="00057F03"/>
    <w:rsid w:val="0006535C"/>
    <w:rsid w:val="00080F8F"/>
    <w:rsid w:val="000F7A4D"/>
    <w:rsid w:val="00100F05"/>
    <w:rsid w:val="001069D5"/>
    <w:rsid w:val="00113BB5"/>
    <w:rsid w:val="00140936"/>
    <w:rsid w:val="00142BAA"/>
    <w:rsid w:val="00146407"/>
    <w:rsid w:val="00160C89"/>
    <w:rsid w:val="00165D2E"/>
    <w:rsid w:val="00166183"/>
    <w:rsid w:val="001710B6"/>
    <w:rsid w:val="00197ADF"/>
    <w:rsid w:val="001A7C3F"/>
    <w:rsid w:val="001B06AC"/>
    <w:rsid w:val="001C6A92"/>
    <w:rsid w:val="001E209B"/>
    <w:rsid w:val="001E2190"/>
    <w:rsid w:val="001E3DE1"/>
    <w:rsid w:val="001F405F"/>
    <w:rsid w:val="00207A7F"/>
    <w:rsid w:val="0021344B"/>
    <w:rsid w:val="0022315C"/>
    <w:rsid w:val="00244D3E"/>
    <w:rsid w:val="00246D27"/>
    <w:rsid w:val="00252027"/>
    <w:rsid w:val="0027726D"/>
    <w:rsid w:val="00280DCA"/>
    <w:rsid w:val="00295B81"/>
    <w:rsid w:val="002D2E25"/>
    <w:rsid w:val="003032EC"/>
    <w:rsid w:val="00312C15"/>
    <w:rsid w:val="00315D98"/>
    <w:rsid w:val="00331B2C"/>
    <w:rsid w:val="0034156D"/>
    <w:rsid w:val="0035092F"/>
    <w:rsid w:val="003530EF"/>
    <w:rsid w:val="00354DAC"/>
    <w:rsid w:val="00372753"/>
    <w:rsid w:val="00377130"/>
    <w:rsid w:val="003A339E"/>
    <w:rsid w:val="003A6A42"/>
    <w:rsid w:val="003A6E87"/>
    <w:rsid w:val="003B5871"/>
    <w:rsid w:val="003F4D49"/>
    <w:rsid w:val="004007E3"/>
    <w:rsid w:val="00441017"/>
    <w:rsid w:val="004510CE"/>
    <w:rsid w:val="00465E4E"/>
    <w:rsid w:val="00476F1C"/>
    <w:rsid w:val="00480440"/>
    <w:rsid w:val="004C5D82"/>
    <w:rsid w:val="004C5D8D"/>
    <w:rsid w:val="004C7487"/>
    <w:rsid w:val="004D4AAA"/>
    <w:rsid w:val="004D6303"/>
    <w:rsid w:val="004E3AE1"/>
    <w:rsid w:val="004E5778"/>
    <w:rsid w:val="00501C66"/>
    <w:rsid w:val="0050337D"/>
    <w:rsid w:val="00506D9D"/>
    <w:rsid w:val="00516791"/>
    <w:rsid w:val="00544DA1"/>
    <w:rsid w:val="0055113F"/>
    <w:rsid w:val="005570B9"/>
    <w:rsid w:val="00561F1D"/>
    <w:rsid w:val="00564056"/>
    <w:rsid w:val="0057598F"/>
    <w:rsid w:val="00581029"/>
    <w:rsid w:val="005A7ED4"/>
    <w:rsid w:val="005B67D2"/>
    <w:rsid w:val="005B7C70"/>
    <w:rsid w:val="005F61D4"/>
    <w:rsid w:val="005F706C"/>
    <w:rsid w:val="00614B3A"/>
    <w:rsid w:val="006631C5"/>
    <w:rsid w:val="006766D6"/>
    <w:rsid w:val="006830EB"/>
    <w:rsid w:val="00687A78"/>
    <w:rsid w:val="00694BD7"/>
    <w:rsid w:val="00695A3F"/>
    <w:rsid w:val="006B0D9E"/>
    <w:rsid w:val="006B7F62"/>
    <w:rsid w:val="006E2411"/>
    <w:rsid w:val="006F23C7"/>
    <w:rsid w:val="006F43C9"/>
    <w:rsid w:val="006F5242"/>
    <w:rsid w:val="00714349"/>
    <w:rsid w:val="00722880"/>
    <w:rsid w:val="00732E22"/>
    <w:rsid w:val="00735E5E"/>
    <w:rsid w:val="00740EF5"/>
    <w:rsid w:val="007411BE"/>
    <w:rsid w:val="00747230"/>
    <w:rsid w:val="00753B3B"/>
    <w:rsid w:val="007636A7"/>
    <w:rsid w:val="00776671"/>
    <w:rsid w:val="00785164"/>
    <w:rsid w:val="00786A66"/>
    <w:rsid w:val="00791A9C"/>
    <w:rsid w:val="007963ED"/>
    <w:rsid w:val="007A5051"/>
    <w:rsid w:val="007A5D11"/>
    <w:rsid w:val="007B7E4E"/>
    <w:rsid w:val="007E668C"/>
    <w:rsid w:val="007F7028"/>
    <w:rsid w:val="00812DD8"/>
    <w:rsid w:val="00814D96"/>
    <w:rsid w:val="00832BA3"/>
    <w:rsid w:val="00834FA4"/>
    <w:rsid w:val="00844C01"/>
    <w:rsid w:val="0084682A"/>
    <w:rsid w:val="00851764"/>
    <w:rsid w:val="00863D9E"/>
    <w:rsid w:val="00886DB2"/>
    <w:rsid w:val="00894349"/>
    <w:rsid w:val="008A4523"/>
    <w:rsid w:val="008B22C1"/>
    <w:rsid w:val="008C0475"/>
    <w:rsid w:val="008D4E68"/>
    <w:rsid w:val="008E1356"/>
    <w:rsid w:val="008E3E32"/>
    <w:rsid w:val="008F44CD"/>
    <w:rsid w:val="0090348F"/>
    <w:rsid w:val="009043B4"/>
    <w:rsid w:val="00933B6F"/>
    <w:rsid w:val="00937A4A"/>
    <w:rsid w:val="00940BE3"/>
    <w:rsid w:val="00950178"/>
    <w:rsid w:val="00963CFF"/>
    <w:rsid w:val="0096459E"/>
    <w:rsid w:val="009667D1"/>
    <w:rsid w:val="009932D5"/>
    <w:rsid w:val="00995F47"/>
    <w:rsid w:val="009C2E0F"/>
    <w:rsid w:val="009C7711"/>
    <w:rsid w:val="009D40AE"/>
    <w:rsid w:val="009D5CA2"/>
    <w:rsid w:val="00A22B18"/>
    <w:rsid w:val="00A527A5"/>
    <w:rsid w:val="00A6729C"/>
    <w:rsid w:val="00A73BBA"/>
    <w:rsid w:val="00A804A9"/>
    <w:rsid w:val="00A832D2"/>
    <w:rsid w:val="00AA064D"/>
    <w:rsid w:val="00AA1F24"/>
    <w:rsid w:val="00AA2794"/>
    <w:rsid w:val="00AA4D9E"/>
    <w:rsid w:val="00AC0E0C"/>
    <w:rsid w:val="00AC371D"/>
    <w:rsid w:val="00AE3D7C"/>
    <w:rsid w:val="00AE625B"/>
    <w:rsid w:val="00AF5F78"/>
    <w:rsid w:val="00B4690E"/>
    <w:rsid w:val="00B46CF7"/>
    <w:rsid w:val="00B47288"/>
    <w:rsid w:val="00B56225"/>
    <w:rsid w:val="00B607CE"/>
    <w:rsid w:val="00B673DA"/>
    <w:rsid w:val="00B77668"/>
    <w:rsid w:val="00B811E5"/>
    <w:rsid w:val="00B84833"/>
    <w:rsid w:val="00BB66D2"/>
    <w:rsid w:val="00BC275B"/>
    <w:rsid w:val="00BC6952"/>
    <w:rsid w:val="00BE69F8"/>
    <w:rsid w:val="00BE740B"/>
    <w:rsid w:val="00BF5F2A"/>
    <w:rsid w:val="00C07656"/>
    <w:rsid w:val="00C11408"/>
    <w:rsid w:val="00C11B26"/>
    <w:rsid w:val="00C13AD4"/>
    <w:rsid w:val="00C32CFA"/>
    <w:rsid w:val="00C54965"/>
    <w:rsid w:val="00C57914"/>
    <w:rsid w:val="00C712CD"/>
    <w:rsid w:val="00C727DB"/>
    <w:rsid w:val="00C737EA"/>
    <w:rsid w:val="00C974C8"/>
    <w:rsid w:val="00CE6FBA"/>
    <w:rsid w:val="00CE7AB5"/>
    <w:rsid w:val="00CF0D8A"/>
    <w:rsid w:val="00CF18F4"/>
    <w:rsid w:val="00D02301"/>
    <w:rsid w:val="00D25C48"/>
    <w:rsid w:val="00D3364B"/>
    <w:rsid w:val="00D342AA"/>
    <w:rsid w:val="00D46F91"/>
    <w:rsid w:val="00D55B5A"/>
    <w:rsid w:val="00D55D73"/>
    <w:rsid w:val="00D56E2F"/>
    <w:rsid w:val="00D6589B"/>
    <w:rsid w:val="00D67AC7"/>
    <w:rsid w:val="00D75134"/>
    <w:rsid w:val="00D870A1"/>
    <w:rsid w:val="00D94560"/>
    <w:rsid w:val="00DA7357"/>
    <w:rsid w:val="00DB6FE7"/>
    <w:rsid w:val="00DD0487"/>
    <w:rsid w:val="00DE0B95"/>
    <w:rsid w:val="00DE61EC"/>
    <w:rsid w:val="00E063FE"/>
    <w:rsid w:val="00E35315"/>
    <w:rsid w:val="00E60B50"/>
    <w:rsid w:val="00E63677"/>
    <w:rsid w:val="00E75006"/>
    <w:rsid w:val="00E92B8E"/>
    <w:rsid w:val="00EA22BA"/>
    <w:rsid w:val="00EA6BAA"/>
    <w:rsid w:val="00EC5A1E"/>
    <w:rsid w:val="00EC7845"/>
    <w:rsid w:val="00EE5D01"/>
    <w:rsid w:val="00F07B8C"/>
    <w:rsid w:val="00F10DF9"/>
    <w:rsid w:val="00F3155D"/>
    <w:rsid w:val="00F32A6D"/>
    <w:rsid w:val="00F5208A"/>
    <w:rsid w:val="00F5731B"/>
    <w:rsid w:val="00F60821"/>
    <w:rsid w:val="00F7609A"/>
    <w:rsid w:val="00F839ED"/>
    <w:rsid w:val="00F90374"/>
    <w:rsid w:val="00FB5386"/>
    <w:rsid w:val="00FD0DBA"/>
    <w:rsid w:val="00FD2EDB"/>
    <w:rsid w:val="00FD3E0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22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690E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90E"/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semiHidden/>
    <w:unhideWhenUsed/>
    <w:rsid w:val="00B4690E"/>
    <w:rPr>
      <w:sz w:val="16"/>
      <w:szCs w:val="16"/>
    </w:rPr>
  </w:style>
  <w:style w:type="paragraph" w:styleId="ListParagraph">
    <w:name w:val="List Paragraph"/>
    <w:aliases w:val="Recommendation,List Paragraph11,bullet point list,Bullet point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9932D5"/>
    <w:pPr>
      <w:ind w:left="720"/>
      <w:contextualSpacing/>
    </w:pPr>
  </w:style>
  <w:style w:type="paragraph" w:styleId="BodyText">
    <w:name w:val="Body Text"/>
    <w:basedOn w:val="Normal"/>
    <w:link w:val="BodyTextChar"/>
    <w:rsid w:val="00834FA4"/>
    <w:pPr>
      <w:spacing w:before="120"/>
      <w:jc w:val="both"/>
    </w:pPr>
    <w:rPr>
      <w:rFonts w:ascii="Arial" w:eastAsia="Times New Roman" w:hAnsi="Arial"/>
      <w:bCs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34FA4"/>
    <w:rPr>
      <w:rFonts w:ascii="Arial" w:eastAsia="Times New Roman" w:hAnsi="Arial"/>
      <w:bCs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848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4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67D1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67D1"/>
    <w:rPr>
      <w:rFonts w:ascii="Times New Roman" w:eastAsia="Times New Roman" w:hAnsi="Times New Roman"/>
      <w:b/>
      <w:bCs/>
      <w:color w:val="000000"/>
    </w:rPr>
  </w:style>
  <w:style w:type="character" w:customStyle="1" w:styleId="ListParagraphChar">
    <w:name w:val="List Paragraph Char"/>
    <w:aliases w:val="Recommendation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locked/>
    <w:rsid w:val="00D55B5A"/>
    <w:rPr>
      <w:rFonts w:ascii="Times New Roman" w:hAnsi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4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ACi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abinet%20submissions\Cabinet%20submissions%20-%20TEMPLATES\Toolkits%20for%20MECS\Policy%20submission\Attachment%20xx_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AA7B9-D3A3-407E-8461-0C34A0D0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901EF-371F-4CB9-A4A8-358EC988B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EA0F-B49A-4532-A01A-BAD7F5DA5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86B420-5800-4AB2-AF21-BA093E5D03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xx_Proactive Release Summary.dotx</Template>
  <TotalTime>0</TotalTime>
  <Pages>1</Pages>
  <Words>278</Words>
  <Characters>1399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LinksUpToDate>false</LinksUpToDate>
  <CharactersWithSpaces>1673</CharactersWithSpaces>
  <SharedDoc>false</SharedDoc>
  <HyperlinkBase>https://www.cabinet.qld.gov.au/documents/2020/Jul/LegalBill/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keywords>Wage theft</cp:keywords>
  <cp:lastModifiedBy/>
  <cp:revision>1</cp:revision>
  <dcterms:created xsi:type="dcterms:W3CDTF">2021-04-06T06:32:00Z</dcterms:created>
  <dcterms:modified xsi:type="dcterms:W3CDTF">2021-05-17T06:15:00Z</dcterms:modified>
  <cp:category>Legislation,Legal_Profession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TaxKeyword">
    <vt:lpwstr>3327;#Wage theft|31390049-f5a5-41ce-97f5-5fb4f78439fe</vt:lpwstr>
  </property>
  <property fmtid="{D5CDD505-2E9C-101B-9397-08002B2CF9AE}" pid="5" name="RecordPoint_RecordNumberSubmitted">
    <vt:lpwstr>R0000053972</vt:lpwstr>
  </property>
  <property fmtid="{D5CDD505-2E9C-101B-9397-08002B2CF9AE}" pid="6" name="RecordPoint_ActiveItemSiteId">
    <vt:lpwstr>{6a31b40d-2886-4f0b-82a0-176ad4f012a0}</vt:lpwstr>
  </property>
  <property fmtid="{D5CDD505-2E9C-101B-9397-08002B2CF9AE}" pid="7" name="RecordPoint_ActiveItemListId">
    <vt:lpwstr>{dd543b62-2a99-4ec2-b7fc-896b05475805}</vt:lpwstr>
  </property>
  <property fmtid="{D5CDD505-2E9C-101B-9397-08002B2CF9AE}" pid="8" name="RecordPoint_ActiveItemUniqueId">
    <vt:lpwstr>{b35aae26-cab2-4b6d-9e9a-518fded9fae8}</vt:lpwstr>
  </property>
  <property fmtid="{D5CDD505-2E9C-101B-9397-08002B2CF9AE}" pid="9" name="RecordPoint_SubmissionCompleted">
    <vt:lpwstr>2020-07-01T10:12:40.8442202+10:00</vt:lpwstr>
  </property>
  <property fmtid="{D5CDD505-2E9C-101B-9397-08002B2CF9AE}" pid="10" name="RecordPoint_ActiveItemWebId">
    <vt:lpwstr>{722aea58-cbd8-45ae-9e89-dc6b90ca889b}</vt:lpwstr>
  </property>
  <property fmtid="{D5CDD505-2E9C-101B-9397-08002B2CF9AE}" pid="11" name="RecordPoint_WorkflowType">
    <vt:lpwstr>ActiveSubmitStub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WorkflowChangePath">
    <vt:lpwstr>05501e91-fc24-4040-845c-3275bb130aeb,3;</vt:lpwstr>
  </property>
</Properties>
</file>